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B9C" w:rsidRPr="00317B9C" w:rsidRDefault="00317B9C" w:rsidP="008F23F5">
      <w:pPr>
        <w:shd w:val="clear" w:color="auto" w:fill="FFFFFF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Hlk515458171"/>
      <w:bookmarkStart w:id="1" w:name="_GoBack"/>
      <w:r w:rsidRPr="00317B9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SEX DIFFERENCES IN EXERCISE DURATION TIME AND RISK OF CARDIOVASCULAR DISEASE EVENTS IN HEALTHY ADULTS</w:t>
      </w:r>
    </w:p>
    <w:p w:rsidR="00A2752C" w:rsidRDefault="00457F51" w:rsidP="008F23F5">
      <w:pPr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vertAlign w:val="superscript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R. Herscovici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E. Maor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2,3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J. Mirocha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I. Goldenberg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2,5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S. Segev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6,5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 </w:t>
      </w:r>
      <w:r w:rsidRPr="00317B9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</w:rPr>
        <w:t>Y. Charuzi</w:t>
      </w:r>
      <w:r w:rsidRPr="00317B9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vertAlign w:val="superscript"/>
        </w:rPr>
        <w:t>7</w:t>
      </w:r>
    </w:p>
    <w:p w:rsidR="00A2752C" w:rsidRDefault="00457F51" w:rsidP="008F23F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1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Cedars- Sinai Smidt Heart Institute, Los Angeles, CA, USA</w:t>
      </w:r>
    </w:p>
    <w:bookmarkEnd w:id="0"/>
    <w:bookmarkEnd w:id="1"/>
    <w:p w:rsidR="00A2752C" w:rsidRDefault="00457F51" w:rsidP="008F23F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2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The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Leviev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Heart Center, Chaim Sheba Medical Center, Tel-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Hashomer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, Ramat Gan, Israel</w:t>
      </w:r>
    </w:p>
    <w:p w:rsidR="00A2752C" w:rsidRDefault="00457F51" w:rsidP="008F23F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3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The Sackler Faculty of Medicine, Tel Aviv University, Tel Aviv, Israel</w:t>
      </w:r>
    </w:p>
    <w:p w:rsidR="00A2752C" w:rsidRDefault="00457F51" w:rsidP="008F23F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4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Research Institute and Clinical &amp; Translational Science Institute, Cedars-Sinai Medical Center, Los Angeles, CA, USA</w:t>
      </w:r>
    </w:p>
    <w:p w:rsidR="00A2752C" w:rsidRDefault="00457F51" w:rsidP="008F23F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5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The Sackler Faculty of Medicine, Tel Aviv University, Tel-Aviv, Israel</w:t>
      </w:r>
    </w:p>
    <w:p w:rsidR="00A2752C" w:rsidRDefault="00457F51" w:rsidP="008F23F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6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Institute for Medical Screening, Chaim Sheba Medical Center, Ramat Gan, Israel</w:t>
      </w:r>
    </w:p>
    <w:p w:rsidR="00457F51" w:rsidRDefault="00457F51" w:rsidP="008F23F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  <w:vertAlign w:val="superscript"/>
        </w:rPr>
        <w:t>7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Cedars-Sinai Smidt Heart Institute, Los Angeles, CA, USA</w:t>
      </w:r>
    </w:p>
    <w:p w:rsidR="00A2752C" w:rsidRPr="000D7C71" w:rsidRDefault="00A2752C" w:rsidP="008F23F5">
      <w:pPr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A2752C" w:rsidRDefault="00457F51" w:rsidP="008F23F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We aimed to evaluate sex differences in cardiorespiratory fitness in a relatively healthy population and its association with cardiovascular disease (CVD) events.</w:t>
      </w:r>
    </w:p>
    <w:p w:rsidR="00A2752C" w:rsidRDefault="00457F51" w:rsidP="008F23F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Methods</w:t>
      </w:r>
      <w:r w:rsidR="00A2752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Study population included 16,216 subjects that were free of ischemic heart disease and completed maximal exercise stress test according to Bruce protocol.</w:t>
      </w:r>
      <w:r w:rsidR="00A2752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Exercise time (ET) was used to estimate cardiorespiratory fitness and compared between sexes. Linear regression analysis was used to identify predictors of ET.</w:t>
      </w:r>
      <w:r w:rsidR="00A2752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Cox regression model was use for the association between ET and development of CVD events defined as composite of myocardial infarction and/or percutaneous coronary intervention. </w:t>
      </w:r>
    </w:p>
    <w:p w:rsidR="00A2752C" w:rsidRDefault="00457F51" w:rsidP="008F23F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Results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: Mean age was 47.56y±9.90 and 29% were women. Women were younger,</w:t>
      </w:r>
      <w:r w:rsidR="00A2752C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less likely to have diabetes or hypertension (p&lt;0.001 for all</w:t>
      </w:r>
      <w:proofErr w:type="gram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).At</w:t>
      </w:r>
      <w:proofErr w:type="gram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a maximum follow-up of 16 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yrs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Kaplan- Meier survival analysis showed that the probability of CVD event was higher among men (12% in men vs 2.3% in women, p&lt;0.001). Multivariate regression model with adjustment for known predictors of low cardiorespiratory fitness showed significant ET differences between women and men (9.3±2.2 vs 11±2.7 min, p&lt;0.001). Multivariate Cox regression model showed that women were 6 times less likely to have CVD event.</w:t>
      </w:r>
      <w:r w:rsidR="0039045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In both sexes each minute increase in ET was associated with 4%/</w:t>
      </w:r>
      <w:proofErr w:type="spellStart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yr</w:t>
      </w:r>
      <w:proofErr w:type="spellEnd"/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decrease in CVD events (table). </w:t>
      </w:r>
    </w:p>
    <w:p w:rsidR="00457F51" w:rsidRDefault="00457F51" w:rsidP="008F23F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0D7C71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Conclusion</w:t>
      </w:r>
      <w:r w:rsidR="00A2752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: </w:t>
      </w:r>
      <w:r w:rsidRPr="000D7C71">
        <w:rPr>
          <w:rFonts w:asciiTheme="majorBidi" w:eastAsia="Times New Roman" w:hAnsiTheme="majorBidi" w:cstheme="majorBidi"/>
          <w:color w:val="000000"/>
          <w:sz w:val="24"/>
          <w:szCs w:val="24"/>
        </w:rPr>
        <w:t>Despite lower cardiorespiratory fitness/shorter ET women have lower cardiovascular risk. Shorter ET is associated with worse CVD outcome in both sexes.</w:t>
      </w:r>
    </w:p>
    <w:p w:rsidR="00A2752C" w:rsidRPr="000D7C71" w:rsidRDefault="00A2752C" w:rsidP="008F23F5">
      <w:pPr>
        <w:jc w:val="both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1"/>
        <w:gridCol w:w="1484"/>
        <w:gridCol w:w="1010"/>
        <w:gridCol w:w="859"/>
      </w:tblGrid>
      <w:tr w:rsidR="00457F51" w:rsidRPr="000D7C71" w:rsidTr="008F23F5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Cox Regression Model for Prediction of CVD events</w:t>
            </w:r>
          </w:p>
        </w:tc>
      </w:tr>
      <w:tr w:rsidR="00457F51" w:rsidRPr="000D7C71" w:rsidTr="008F23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Hazard Ratio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 value</w:t>
            </w:r>
          </w:p>
        </w:tc>
      </w:tr>
      <w:tr w:rsidR="00457F51" w:rsidRPr="000D7C71" w:rsidTr="008F23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6.20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4.50-8.54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&lt;0.001</w:t>
            </w:r>
          </w:p>
        </w:tc>
      </w:tr>
      <w:tr w:rsidR="00457F51" w:rsidRPr="000D7C71" w:rsidTr="008F23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1.07-1.88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&lt;0.001</w:t>
            </w:r>
          </w:p>
        </w:tc>
      </w:tr>
      <w:tr w:rsidR="00457F51" w:rsidRPr="000D7C71" w:rsidTr="008F23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Smoking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1.25-1.82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&lt;0.001</w:t>
            </w:r>
          </w:p>
        </w:tc>
      </w:tr>
      <w:tr w:rsidR="00457F51" w:rsidRPr="000D7C71" w:rsidTr="008F23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SystolicBlood</w:t>
            </w:r>
            <w:proofErr w:type="spellEnd"/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Pressure (5 mmHg increase)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0.95-1.01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0.325</w:t>
            </w:r>
          </w:p>
        </w:tc>
      </w:tr>
      <w:tr w:rsidR="00457F51" w:rsidRPr="000D7C71" w:rsidTr="008F23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Diabetes Mellitus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1.05-1.81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0.022</w:t>
            </w:r>
          </w:p>
        </w:tc>
      </w:tr>
      <w:tr w:rsidR="00457F51" w:rsidRPr="000D7C71" w:rsidTr="008F23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Exercise Duration (</w:t>
            </w:r>
            <w:proofErr w:type="gramStart"/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 minute</w:t>
            </w:r>
            <w:proofErr w:type="gramEnd"/>
            <w:r w:rsidRPr="000D7C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increase)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0.96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0.93-0.99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D7C71">
              <w:rPr>
                <w:rFonts w:asciiTheme="majorBidi" w:eastAsia="Times New Roman" w:hAnsiTheme="majorBidi" w:cstheme="majorBidi"/>
                <w:sz w:val="24"/>
                <w:szCs w:val="24"/>
              </w:rPr>
              <w:t>&lt;0.001</w:t>
            </w:r>
          </w:p>
        </w:tc>
      </w:tr>
      <w:tr w:rsidR="00457F51" w:rsidRPr="000D7C71" w:rsidTr="008F23F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F51" w:rsidRPr="000D7C71" w:rsidRDefault="00457F51" w:rsidP="008F23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</w:tbl>
    <w:p w:rsidR="00457F51" w:rsidRPr="000D7C71" w:rsidRDefault="00457F51" w:rsidP="008F23F5">
      <w:pPr>
        <w:rPr>
          <w:rFonts w:asciiTheme="majorBidi" w:eastAsia="Times New Roman" w:hAnsiTheme="majorBidi" w:cstheme="majorBidi"/>
          <w:sz w:val="24"/>
          <w:szCs w:val="24"/>
        </w:rPr>
      </w:pPr>
    </w:p>
    <w:p w:rsidR="00345DBB" w:rsidRDefault="009F5541" w:rsidP="008F23F5"/>
    <w:sectPr w:rsidR="00345DB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541" w:rsidRDefault="009F5541" w:rsidP="00A2752C">
      <w:r>
        <w:separator/>
      </w:r>
    </w:p>
  </w:endnote>
  <w:endnote w:type="continuationSeparator" w:id="0">
    <w:p w:rsidR="009F5541" w:rsidRDefault="009F5541" w:rsidP="00A2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541" w:rsidRDefault="009F5541" w:rsidP="00A2752C">
      <w:r>
        <w:separator/>
      </w:r>
    </w:p>
  </w:footnote>
  <w:footnote w:type="continuationSeparator" w:id="0">
    <w:p w:rsidR="009F5541" w:rsidRDefault="009F5541" w:rsidP="00A2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52C" w:rsidRDefault="00A2752C" w:rsidP="00A2752C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18-IS-34-IAC</w:t>
    </w:r>
  </w:p>
  <w:p w:rsidR="00A2752C" w:rsidRPr="000D7C71" w:rsidRDefault="00A2752C" w:rsidP="00A2752C">
    <w:pPr>
      <w:rPr>
        <w:rFonts w:asciiTheme="majorBidi" w:eastAsia="Times New Roman" w:hAnsiTheme="majorBidi" w:cstheme="majorBidi"/>
        <w:color w:val="000000"/>
        <w:sz w:val="24"/>
        <w:szCs w:val="24"/>
      </w:rPr>
    </w:pPr>
    <w:r w:rsidRPr="000D7C71">
      <w:rPr>
        <w:rFonts w:asciiTheme="majorBidi" w:eastAsia="Times New Roman" w:hAnsiTheme="majorBidi" w:cstheme="majorBidi"/>
        <w:color w:val="000000"/>
        <w:sz w:val="24"/>
        <w:szCs w:val="24"/>
      </w:rPr>
      <w:t>11. Exercise Physiology / Exercise Testing</w:t>
    </w:r>
  </w:p>
  <w:p w:rsidR="00A2752C" w:rsidRPr="000D7C71" w:rsidRDefault="00A2752C" w:rsidP="00A2752C">
    <w:pPr>
      <w:rPr>
        <w:rFonts w:asciiTheme="majorBidi" w:eastAsia="Times New Roman" w:hAnsiTheme="majorBidi" w:cstheme="majorBidi"/>
        <w:color w:val="000000"/>
        <w:sz w:val="24"/>
        <w:szCs w:val="24"/>
      </w:rPr>
    </w:pPr>
  </w:p>
  <w:p w:rsidR="00A2752C" w:rsidRDefault="00A2752C" w:rsidP="00A275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51"/>
    <w:rsid w:val="0030401F"/>
    <w:rsid w:val="00317B9C"/>
    <w:rsid w:val="00390451"/>
    <w:rsid w:val="00457F51"/>
    <w:rsid w:val="006A6BC4"/>
    <w:rsid w:val="008A10D5"/>
    <w:rsid w:val="008F23F5"/>
    <w:rsid w:val="009F5541"/>
    <w:rsid w:val="00A128E1"/>
    <w:rsid w:val="00A2752C"/>
    <w:rsid w:val="00CC475F"/>
    <w:rsid w:val="00D2124F"/>
    <w:rsid w:val="00E7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07A41-CCCC-46CF-9476-DD836B0F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52C"/>
  </w:style>
  <w:style w:type="paragraph" w:styleId="Footer">
    <w:name w:val="footer"/>
    <w:basedOn w:val="Normal"/>
    <w:link w:val="FooterChar"/>
    <w:uiPriority w:val="99"/>
    <w:unhideWhenUsed/>
    <w:rsid w:val="00A27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Nahari</dc:creator>
  <cp:keywords/>
  <dc:description/>
  <cp:lastModifiedBy>Karyn Nahari</cp:lastModifiedBy>
  <cp:revision>5</cp:revision>
  <dcterms:created xsi:type="dcterms:W3CDTF">2018-05-16T11:49:00Z</dcterms:created>
  <dcterms:modified xsi:type="dcterms:W3CDTF">2018-05-30T12:42:00Z</dcterms:modified>
</cp:coreProperties>
</file>